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DA" w:rsidRPr="00E51E1F" w:rsidRDefault="00E51E1F" w:rsidP="009E1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jc w:val="center"/>
        <w:rPr>
          <w:rFonts w:ascii="Comic Sans MS" w:hAnsi="Comic Sans MS"/>
          <w:sz w:val="28"/>
          <w:szCs w:val="28"/>
        </w:rPr>
      </w:pPr>
      <w:r w:rsidRPr="00E51E1F">
        <w:rPr>
          <w:rFonts w:ascii="Comic Sans MS" w:hAnsi="Comic Sans MS"/>
          <w:sz w:val="28"/>
          <w:szCs w:val="28"/>
        </w:rPr>
        <w:t xml:space="preserve">Wraysbury Primary School Curriculum </w:t>
      </w:r>
      <w:proofErr w:type="gramStart"/>
      <w:r w:rsidRPr="00E51E1F">
        <w:rPr>
          <w:rFonts w:ascii="Comic Sans MS" w:hAnsi="Comic Sans MS"/>
          <w:sz w:val="28"/>
          <w:szCs w:val="28"/>
        </w:rPr>
        <w:t>Overview</w:t>
      </w:r>
      <w:r>
        <w:rPr>
          <w:rFonts w:ascii="Comic Sans MS" w:hAnsi="Comic Sans MS"/>
          <w:sz w:val="28"/>
          <w:szCs w:val="28"/>
        </w:rPr>
        <w:t xml:space="preserve"> :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92024C">
        <w:rPr>
          <w:rFonts w:ascii="Comic Sans MS" w:hAnsi="Comic Sans MS"/>
          <w:sz w:val="28"/>
          <w:szCs w:val="28"/>
        </w:rPr>
        <w:t>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198"/>
        <w:gridCol w:w="2199"/>
        <w:gridCol w:w="2203"/>
        <w:gridCol w:w="2203"/>
        <w:gridCol w:w="2200"/>
        <w:gridCol w:w="2200"/>
      </w:tblGrid>
      <w:tr w:rsidR="002D5739" w:rsidRPr="00D31D26" w:rsidTr="002D5739">
        <w:tc>
          <w:tcPr>
            <w:tcW w:w="2185" w:type="dxa"/>
            <w:shd w:val="clear" w:color="auto" w:fill="CCC0D9" w:themeFill="accent4" w:themeFillTint="66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8" w:type="dxa"/>
            <w:shd w:val="clear" w:color="auto" w:fill="CCC0D9" w:themeFill="accent4" w:themeFillTint="66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Autumn 1</w:t>
            </w:r>
          </w:p>
        </w:tc>
        <w:tc>
          <w:tcPr>
            <w:tcW w:w="2199" w:type="dxa"/>
            <w:shd w:val="clear" w:color="auto" w:fill="CCC0D9" w:themeFill="accent4" w:themeFillTint="66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</w:t>
            </w:r>
            <w:r w:rsidR="00D4387D" w:rsidRPr="00D31D26">
              <w:rPr>
                <w:rFonts w:ascii="Comic Sans MS" w:hAnsi="Comic Sans MS" w:cs="Arial"/>
                <w:sz w:val="26"/>
                <w:szCs w:val="26"/>
              </w:rPr>
              <w:t>n</w:t>
            </w:r>
            <w:r w:rsidRPr="00D31D26">
              <w:rPr>
                <w:rFonts w:ascii="Comic Sans MS" w:hAnsi="Comic Sans MS" w:cs="Arial"/>
                <w:sz w:val="26"/>
                <w:szCs w:val="26"/>
              </w:rPr>
              <w:t xml:space="preserve"> 2</w:t>
            </w:r>
          </w:p>
        </w:tc>
        <w:tc>
          <w:tcPr>
            <w:tcW w:w="2203" w:type="dxa"/>
            <w:shd w:val="clear" w:color="auto" w:fill="CCC0D9" w:themeFill="accent4" w:themeFillTint="66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1</w:t>
            </w:r>
          </w:p>
        </w:tc>
        <w:tc>
          <w:tcPr>
            <w:tcW w:w="2203" w:type="dxa"/>
            <w:shd w:val="clear" w:color="auto" w:fill="CCC0D9" w:themeFill="accent4" w:themeFillTint="66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2</w:t>
            </w:r>
          </w:p>
        </w:tc>
        <w:tc>
          <w:tcPr>
            <w:tcW w:w="2200" w:type="dxa"/>
            <w:shd w:val="clear" w:color="auto" w:fill="CCC0D9" w:themeFill="accent4" w:themeFillTint="66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1</w:t>
            </w:r>
          </w:p>
        </w:tc>
        <w:tc>
          <w:tcPr>
            <w:tcW w:w="2200" w:type="dxa"/>
            <w:shd w:val="clear" w:color="auto" w:fill="CCC0D9" w:themeFill="accent4" w:themeFillTint="66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2</w:t>
            </w:r>
          </w:p>
        </w:tc>
      </w:tr>
      <w:tr w:rsidR="004014BC" w:rsidRPr="00D31D26" w:rsidTr="003F15C9">
        <w:trPr>
          <w:trHeight w:val="608"/>
        </w:trPr>
        <w:tc>
          <w:tcPr>
            <w:tcW w:w="2185" w:type="dxa"/>
            <w:shd w:val="clear" w:color="auto" w:fill="CCC0D9" w:themeFill="accent4" w:themeFillTint="66"/>
            <w:vAlign w:val="center"/>
          </w:tcPr>
          <w:p w:rsidR="004014BC" w:rsidRDefault="004014BC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3203" w:type="dxa"/>
            <w:gridSpan w:val="6"/>
            <w:shd w:val="clear" w:color="auto" w:fill="D9D9D9" w:themeFill="background1" w:themeFillShade="D9"/>
            <w:vAlign w:val="center"/>
          </w:tcPr>
          <w:p w:rsidR="004014BC" w:rsidRPr="004014BC" w:rsidRDefault="004014BC" w:rsidP="004014BC">
            <w:pPr>
              <w:jc w:val="center"/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19107C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Offered as part of daily ‘Continuous Provision’– follow</w:t>
            </w: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ing</w:t>
            </w:r>
            <w:r w:rsidRPr="0019107C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 xml:space="preserve"> children’s interests</w:t>
            </w:r>
          </w:p>
        </w:tc>
      </w:tr>
      <w:tr w:rsidR="004014BC" w:rsidRPr="00D31D26" w:rsidTr="004014BC">
        <w:trPr>
          <w:trHeight w:val="2687"/>
        </w:trPr>
        <w:tc>
          <w:tcPr>
            <w:tcW w:w="2185" w:type="dxa"/>
            <w:shd w:val="clear" w:color="auto" w:fill="CCC0D9" w:themeFill="accent4" w:themeFillTint="66"/>
            <w:vAlign w:val="center"/>
          </w:tcPr>
          <w:p w:rsidR="004014BC" w:rsidRPr="00D31D26" w:rsidRDefault="004014BC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Reception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4014BC" w:rsidRPr="0081799C" w:rsidRDefault="004014BC" w:rsidP="00145F15">
            <w:pPr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Experimenting with the different resources available in Continuous Provision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4014BC" w:rsidRPr="004014BC" w:rsidRDefault="004014BC" w:rsidP="004014BC">
            <w:pPr>
              <w:jc w:val="center"/>
              <w:rPr>
                <w:rFonts w:ascii="Comic Sans MS" w:eastAsia="Times New Roman" w:hAnsi="Comic Sans MS" w:cs="Arial"/>
              </w:rPr>
            </w:pPr>
            <w:r w:rsidRPr="004014BC">
              <w:rPr>
                <w:rFonts w:ascii="Comic Sans MS" w:eastAsia="Times New Roman" w:hAnsi="Comic Sans MS" w:cs="Arial"/>
              </w:rPr>
              <w:t>Singing –</w:t>
            </w:r>
          </w:p>
          <w:p w:rsidR="004014BC" w:rsidRPr="004014BC" w:rsidRDefault="004014BC" w:rsidP="004014BC">
            <w:pPr>
              <w:jc w:val="center"/>
              <w:rPr>
                <w:rFonts w:ascii="Comic Sans MS" w:eastAsia="Times New Roman" w:hAnsi="Comic Sans MS" w:cs="Arial"/>
              </w:rPr>
            </w:pPr>
            <w:r w:rsidRPr="004014BC">
              <w:rPr>
                <w:rFonts w:ascii="Comic Sans MS" w:eastAsia="Times New Roman" w:hAnsi="Comic Sans MS" w:cs="Arial"/>
              </w:rPr>
              <w:t>Christmas</w:t>
            </w:r>
          </w:p>
          <w:p w:rsidR="004014BC" w:rsidRPr="004014BC" w:rsidRDefault="004014BC" w:rsidP="004014BC">
            <w:pPr>
              <w:jc w:val="center"/>
              <w:rPr>
                <w:rFonts w:ascii="Comic Sans MS" w:eastAsia="Times New Roman" w:hAnsi="Comic Sans MS" w:cs="Arial"/>
              </w:rPr>
            </w:pPr>
            <w:r w:rsidRPr="004014BC">
              <w:rPr>
                <w:rFonts w:ascii="Comic Sans MS" w:eastAsia="Times New Roman" w:hAnsi="Comic Sans MS" w:cs="Arial"/>
              </w:rPr>
              <w:t xml:space="preserve">Production </w:t>
            </w:r>
          </w:p>
          <w:p w:rsidR="004014BC" w:rsidRDefault="004014BC" w:rsidP="0023784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4014BC" w:rsidRPr="004014BC" w:rsidRDefault="004014BC" w:rsidP="004014BC">
            <w:pPr>
              <w:jc w:val="center"/>
              <w:rPr>
                <w:rFonts w:ascii="Comic Sans MS" w:eastAsia="Times New Roman" w:hAnsi="Comic Sans MS" w:cs="Arial"/>
              </w:rPr>
            </w:pPr>
            <w:r w:rsidRPr="004014BC">
              <w:rPr>
                <w:rFonts w:ascii="Comic Sans MS" w:eastAsia="Times New Roman" w:hAnsi="Comic Sans MS" w:cs="Arial"/>
              </w:rPr>
              <w:t>Exploring Sound</w:t>
            </w:r>
          </w:p>
          <w:p w:rsidR="004014BC" w:rsidRPr="004014BC" w:rsidRDefault="004014BC" w:rsidP="004014BC">
            <w:pPr>
              <w:jc w:val="center"/>
              <w:rPr>
                <w:rFonts w:ascii="Arial" w:eastAsia="Times New Roman" w:hAnsi="Arial" w:cs="Arial"/>
                <w:sz w:val="16"/>
                <w:szCs w:val="24"/>
              </w:rPr>
            </w:pPr>
            <w:r w:rsidRPr="004014BC">
              <w:rPr>
                <w:rFonts w:ascii="Arial" w:eastAsia="Times New Roman" w:hAnsi="Arial" w:cs="Arial"/>
                <w:sz w:val="16"/>
                <w:szCs w:val="24"/>
              </w:rPr>
              <w:t>Children explore how they can use their voice and bodies to make sounds experiment  with tempo and dynamic when playing instruments, identify sounds in the environment and differentiate between them</w:t>
            </w:r>
          </w:p>
          <w:p w:rsidR="004014BC" w:rsidRPr="004014BC" w:rsidRDefault="004014BC" w:rsidP="004014BC">
            <w:pPr>
              <w:jc w:val="center"/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</w:rPr>
            </w:pPr>
          </w:p>
          <w:p w:rsidR="004014BC" w:rsidRPr="00E92C9E" w:rsidRDefault="004014BC" w:rsidP="0023784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4014BC" w:rsidRPr="004014BC" w:rsidRDefault="004014BC" w:rsidP="004014BC">
            <w:pPr>
              <w:jc w:val="center"/>
              <w:rPr>
                <w:rFonts w:ascii="Comic Sans MS" w:eastAsia="Times New Roman" w:hAnsi="Comic Sans MS" w:cs="Arial"/>
              </w:rPr>
            </w:pPr>
            <w:r w:rsidRPr="004014BC">
              <w:rPr>
                <w:rFonts w:ascii="Comic Sans MS" w:eastAsia="Times New Roman" w:hAnsi="Comic Sans MS" w:cs="Arial"/>
              </w:rPr>
              <w:t>Musical Stories</w:t>
            </w:r>
          </w:p>
          <w:p w:rsidR="004014BC" w:rsidRPr="004014BC" w:rsidRDefault="004014BC" w:rsidP="004014BC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4014BC">
              <w:rPr>
                <w:rFonts w:ascii="Arial" w:eastAsia="Times New Roman" w:hAnsi="Arial" w:cs="Arial"/>
                <w:sz w:val="16"/>
              </w:rPr>
              <w:t xml:space="preserve">Through traditional </w:t>
            </w:r>
            <w:proofErr w:type="gramStart"/>
            <w:r w:rsidRPr="004014BC">
              <w:rPr>
                <w:rFonts w:ascii="Arial" w:eastAsia="Times New Roman" w:hAnsi="Arial" w:cs="Arial"/>
                <w:sz w:val="16"/>
              </w:rPr>
              <w:t>tales</w:t>
            </w:r>
            <w:proofErr w:type="gramEnd"/>
            <w:r w:rsidRPr="004014BC">
              <w:rPr>
                <w:rFonts w:ascii="Arial" w:eastAsia="Times New Roman" w:hAnsi="Arial" w:cs="Arial"/>
                <w:sz w:val="16"/>
              </w:rPr>
              <w:t xml:space="preserve"> children learn to move to music with instruction, changing movements to match the tempo, pitch or dynamic of the piece; understanding that music and instruments can be used to convey moods or represent characters; playing an instrument as part of a group.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4014BC" w:rsidRPr="004014BC" w:rsidRDefault="004014BC" w:rsidP="004014BC">
            <w:pPr>
              <w:jc w:val="center"/>
              <w:rPr>
                <w:rFonts w:ascii="Comic Sans MS" w:eastAsia="Times New Roman" w:hAnsi="Comic Sans MS" w:cs="Arial"/>
              </w:rPr>
            </w:pPr>
            <w:r w:rsidRPr="004014BC">
              <w:rPr>
                <w:rFonts w:ascii="Comic Sans MS" w:eastAsia="Times New Roman" w:hAnsi="Comic Sans MS" w:cs="Arial"/>
              </w:rPr>
              <w:t xml:space="preserve">Music  and Movement </w:t>
            </w:r>
          </w:p>
          <w:p w:rsidR="004014BC" w:rsidRPr="004014BC" w:rsidRDefault="004014BC" w:rsidP="00401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BC">
              <w:rPr>
                <w:rFonts w:ascii="Arial" w:eastAsia="Times New Roman" w:hAnsi="Arial" w:cs="Arial"/>
                <w:sz w:val="16"/>
                <w:szCs w:val="24"/>
              </w:rPr>
              <w:t>Children come up with simple actions to well- known songs, how to move to a beat and express feelings and emotions through movement to music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4014BC" w:rsidRPr="004014BC" w:rsidRDefault="004014BC" w:rsidP="004014BC">
            <w:pPr>
              <w:jc w:val="center"/>
              <w:rPr>
                <w:rFonts w:ascii="Comic Sans MS" w:eastAsia="Times New Roman" w:hAnsi="Comic Sans MS" w:cs="Arial"/>
              </w:rPr>
            </w:pPr>
            <w:r w:rsidRPr="004014BC">
              <w:rPr>
                <w:rFonts w:ascii="Comic Sans MS" w:eastAsia="Times New Roman" w:hAnsi="Comic Sans MS" w:cs="Arial"/>
              </w:rPr>
              <w:t xml:space="preserve">Big Band </w:t>
            </w:r>
          </w:p>
          <w:p w:rsidR="004014BC" w:rsidRPr="004014BC" w:rsidRDefault="004014BC" w:rsidP="004014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4BC">
              <w:rPr>
                <w:rFonts w:ascii="Arial" w:eastAsia="Times New Roman" w:hAnsi="Arial" w:cs="Arial"/>
                <w:sz w:val="16"/>
                <w:szCs w:val="24"/>
              </w:rPr>
              <w:t xml:space="preserve">Children learn about the four different groups of musical instruments, following a beat using an </w:t>
            </w:r>
            <w:proofErr w:type="spellStart"/>
            <w:r w:rsidRPr="004014BC">
              <w:rPr>
                <w:rFonts w:ascii="Arial" w:eastAsia="Times New Roman" w:hAnsi="Arial" w:cs="Arial"/>
                <w:sz w:val="16"/>
                <w:szCs w:val="24"/>
              </w:rPr>
              <w:t>untuned</w:t>
            </w:r>
            <w:proofErr w:type="spellEnd"/>
            <w:r w:rsidRPr="004014BC">
              <w:rPr>
                <w:rFonts w:ascii="Arial" w:eastAsia="Times New Roman" w:hAnsi="Arial" w:cs="Arial"/>
                <w:sz w:val="16"/>
                <w:szCs w:val="24"/>
              </w:rPr>
              <w:t xml:space="preserve"> instrument and performing a practised song to a small audience</w:t>
            </w:r>
          </w:p>
        </w:tc>
      </w:tr>
      <w:tr w:rsidR="00237847" w:rsidRPr="00D31D26" w:rsidTr="0081799C">
        <w:trPr>
          <w:trHeight w:val="2540"/>
        </w:trPr>
        <w:tc>
          <w:tcPr>
            <w:tcW w:w="2185" w:type="dxa"/>
            <w:shd w:val="clear" w:color="auto" w:fill="CCC0D9" w:themeFill="accent4" w:themeFillTint="66"/>
            <w:vAlign w:val="center"/>
          </w:tcPr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1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667086" w:rsidRPr="0081799C" w:rsidRDefault="0092024C" w:rsidP="00145F15">
            <w:pPr>
              <w:spacing w:line="276" w:lineRule="auto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Pulse and Rhythm:</w:t>
            </w:r>
          </w:p>
          <w:p w:rsidR="0092024C" w:rsidRPr="0081799C" w:rsidRDefault="0092024C" w:rsidP="00145F15">
            <w:pPr>
              <w:spacing w:line="276" w:lineRule="auto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All About Me</w:t>
            </w:r>
          </w:p>
          <w:p w:rsidR="0092024C" w:rsidRPr="0092024C" w:rsidRDefault="0092024C" w:rsidP="00145F15">
            <w:pPr>
              <w:spacing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92024C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Children learn to identify the difference between the pulse and rhythm of a song and consolidate their understanding of these concepts through listening and performing activities.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37847" w:rsidRDefault="0092024C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Singing –</w:t>
            </w:r>
          </w:p>
          <w:p w:rsidR="0092024C" w:rsidRDefault="0092024C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Christmas Production</w:t>
            </w:r>
          </w:p>
          <w:p w:rsidR="0092024C" w:rsidRPr="00337FFB" w:rsidRDefault="0092024C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81799C" w:rsidRDefault="0092024C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Pitch and Tempo:</w:t>
            </w:r>
          </w:p>
          <w:p w:rsidR="0092024C" w:rsidRPr="0081799C" w:rsidRDefault="0092024C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Superheroes</w:t>
            </w:r>
          </w:p>
          <w:p w:rsidR="0092024C" w:rsidRPr="0092024C" w:rsidRDefault="0092024C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2024C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Learning how to identify high and low notes and to compose a simple tune, children investigate how tempo changes help tell a story and make music more exciting.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81799C" w:rsidRDefault="0092024C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 xml:space="preserve">Timbre and </w:t>
            </w:r>
            <w:r w:rsidR="00781193" w:rsidRPr="0081799C">
              <w:rPr>
                <w:rFonts w:ascii="Comic Sans MS" w:hAnsi="Comic Sans MS" w:cs="Arial"/>
              </w:rPr>
              <w:t>r</w:t>
            </w:r>
            <w:r w:rsidRPr="0081799C">
              <w:rPr>
                <w:rFonts w:ascii="Comic Sans MS" w:hAnsi="Comic Sans MS" w:cs="Arial"/>
              </w:rPr>
              <w:t>hythmic patterns:</w:t>
            </w:r>
          </w:p>
          <w:p w:rsidR="0092024C" w:rsidRPr="0081799C" w:rsidRDefault="00781193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Fairy T</w:t>
            </w:r>
            <w:r w:rsidR="0092024C" w:rsidRPr="0081799C">
              <w:rPr>
                <w:rFonts w:ascii="Comic Sans MS" w:hAnsi="Comic Sans MS" w:cs="Arial"/>
              </w:rPr>
              <w:t>ales</w:t>
            </w:r>
          </w:p>
          <w:p w:rsidR="0092024C" w:rsidRPr="0081799C" w:rsidRDefault="0092024C" w:rsidP="0081799C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2024C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Through fairy tales, children are introduced to the concept of timbre; learning that different sounds can represent characters and key moments in a story.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81799C" w:rsidRDefault="0092024C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Musical Vocabulary:</w:t>
            </w:r>
          </w:p>
          <w:p w:rsidR="0092024C" w:rsidRPr="0081799C" w:rsidRDefault="0092024C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Under the Sea</w:t>
            </w:r>
          </w:p>
          <w:p w:rsidR="0092024C" w:rsidRPr="0092024C" w:rsidRDefault="0092024C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2024C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Journey into the unknown and explore under the sea through music, movement, chanting and the playing of tuned percussion instruments.</w:t>
            </w:r>
          </w:p>
        </w:tc>
      </w:tr>
      <w:tr w:rsidR="00237847" w:rsidRPr="00D31D26" w:rsidTr="002D5739">
        <w:trPr>
          <w:trHeight w:val="2087"/>
        </w:trPr>
        <w:tc>
          <w:tcPr>
            <w:tcW w:w="2185" w:type="dxa"/>
            <w:shd w:val="clear" w:color="auto" w:fill="CCC0D9" w:themeFill="accent4" w:themeFillTint="66"/>
            <w:vAlign w:val="center"/>
          </w:tcPr>
          <w:p w:rsidR="00237847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2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37847" w:rsidRPr="0081799C" w:rsidRDefault="00781193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Orchestral Instruments:</w:t>
            </w:r>
          </w:p>
          <w:p w:rsidR="00781193" w:rsidRPr="0081799C" w:rsidRDefault="00781193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Traditional Stories</w:t>
            </w:r>
          </w:p>
          <w:p w:rsidR="00781193" w:rsidRPr="00781193" w:rsidRDefault="00781193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781193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Children are introduced to the instruments of the orchestra and practice identifying these within a piece of music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37847" w:rsidRPr="0081799C" w:rsidRDefault="00781193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Singing – Christmas Production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81799C" w:rsidRDefault="00781193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Musical Me</w:t>
            </w:r>
          </w:p>
          <w:p w:rsidR="00781193" w:rsidRPr="00781193" w:rsidRDefault="00781193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781193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Children learn to sing the song ‘Once a Man Fell in a Well’ and to play it using tuned percussion. Using letter notation to write a melody.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81799C" w:rsidRDefault="00781193" w:rsidP="00145F15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African call and respond songs:</w:t>
            </w:r>
          </w:p>
          <w:p w:rsidR="00781193" w:rsidRPr="00781193" w:rsidRDefault="00781193" w:rsidP="00145F15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781193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Learning a traditional African call and response song and to recognise simple notation. Composing animal-based call and response rhythms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81799C" w:rsidRDefault="00781193" w:rsidP="00237847">
            <w:pPr>
              <w:spacing w:line="276" w:lineRule="auto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Myths and Legends:</w:t>
            </w:r>
          </w:p>
          <w:p w:rsidR="00781193" w:rsidRPr="00781193" w:rsidRDefault="00781193" w:rsidP="00237847">
            <w:pPr>
              <w:spacing w:line="27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781193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 xml:space="preserve">Developing </w:t>
            </w:r>
            <w:proofErr w:type="gramStart"/>
            <w:r w:rsidRPr="00781193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understanding of musical language and how timbre, dynamics and tempo affect the mood of a song</w:t>
            </w:r>
            <w:proofErr w:type="gramEnd"/>
            <w:r w:rsidRPr="00781193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.</w:t>
            </w:r>
          </w:p>
        </w:tc>
      </w:tr>
      <w:tr w:rsidR="002D5739" w:rsidRPr="00D31D26" w:rsidTr="002D5739">
        <w:trPr>
          <w:trHeight w:val="552"/>
        </w:trPr>
        <w:tc>
          <w:tcPr>
            <w:tcW w:w="2185" w:type="dxa"/>
            <w:shd w:val="clear" w:color="auto" w:fill="CCC0D9" w:themeFill="accent4" w:themeFillTint="66"/>
            <w:vAlign w:val="center"/>
          </w:tcPr>
          <w:p w:rsidR="002D5739" w:rsidRPr="00D31D26" w:rsidRDefault="002D5739" w:rsidP="00337FFB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Year 3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D02633" w:rsidRPr="0081799C" w:rsidRDefault="00B472F8" w:rsidP="00237847">
            <w:pPr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Ballads:</w:t>
            </w:r>
          </w:p>
          <w:p w:rsidR="00B472F8" w:rsidRPr="00B472F8" w:rsidRDefault="00B472F8" w:rsidP="0023784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472F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 xml:space="preserve">Children learn what ballads </w:t>
            </w:r>
            <w:proofErr w:type="gramStart"/>
            <w:r w:rsidRPr="00B472F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are, how to identify their features and how to convey different emotions when performing them</w:t>
            </w:r>
            <w:proofErr w:type="gramEnd"/>
            <w:r w:rsidRPr="00B472F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D5739" w:rsidRPr="0081799C" w:rsidRDefault="00B472F8" w:rsidP="0081799C">
            <w:pPr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t>Developing Singing Technique:</w:t>
            </w:r>
          </w:p>
          <w:p w:rsidR="00B472F8" w:rsidRPr="00B472F8" w:rsidRDefault="00B472F8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472F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 xml:space="preserve">The children develop their singing technique; learning to keep in time, and work on musical notation and rhythm, culminating in a </w:t>
            </w:r>
            <w:r w:rsidRPr="00B472F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lastRenderedPageBreak/>
              <w:t>group performance of a song with actions.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D5739" w:rsidRPr="0081799C" w:rsidRDefault="00B472F8" w:rsidP="00237847">
            <w:pPr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lastRenderedPageBreak/>
              <w:t>Pentatonic Melodies and Composition:</w:t>
            </w:r>
          </w:p>
          <w:p w:rsidR="00B472F8" w:rsidRPr="00B472F8" w:rsidRDefault="00B472F8" w:rsidP="0023784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472F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 xml:space="preserve">Revising key musical terminology, playing and creating pentatonic melodies, composing a </w:t>
            </w:r>
            <w:r w:rsidRPr="00B472F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lastRenderedPageBreak/>
              <w:t>piece of music using layered melodies. 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D5739" w:rsidRPr="0081799C" w:rsidRDefault="00B472F8" w:rsidP="00A251FE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lastRenderedPageBreak/>
              <w:t>Singing – Lower Junior Production</w:t>
            </w:r>
          </w:p>
          <w:p w:rsidR="00A251FE" w:rsidRPr="0081799C" w:rsidRDefault="00A251FE" w:rsidP="00A251FE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  <w:p w:rsidR="00A251FE" w:rsidRPr="0081799C" w:rsidRDefault="00A251FE" w:rsidP="00A251FE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lastRenderedPageBreak/>
              <w:t>Changes in Pitch, tempo and dynamics (Rivers)</w:t>
            </w:r>
          </w:p>
          <w:p w:rsidR="00A251FE" w:rsidRPr="004014BC" w:rsidRDefault="00FE2749" w:rsidP="00A251F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14BC">
              <w:rPr>
                <w:rFonts w:ascii="Arial" w:hAnsi="Arial" w:cs="Arial"/>
                <w:sz w:val="16"/>
              </w:rPr>
              <w:t xml:space="preserve">Learning to listen to changes in pitch, tempo, </w:t>
            </w:r>
            <w:proofErr w:type="gramStart"/>
            <w:r w:rsidRPr="004014BC">
              <w:rPr>
                <w:rFonts w:ascii="Arial" w:hAnsi="Arial" w:cs="Arial"/>
                <w:sz w:val="16"/>
              </w:rPr>
              <w:t>dynamics</w:t>
            </w:r>
            <w:proofErr w:type="gramEnd"/>
            <w:r w:rsidRPr="004014BC">
              <w:rPr>
                <w:rFonts w:ascii="Arial" w:hAnsi="Arial" w:cs="Arial"/>
                <w:sz w:val="16"/>
              </w:rPr>
              <w:t xml:space="preserve"> and relate it to something tangible and familiar. Linking to Geography, the children represent different stages of the river through vocal and percussive ostinatos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D5739" w:rsidRPr="0081799C" w:rsidRDefault="00FE2749" w:rsidP="00237847">
            <w:pPr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lastRenderedPageBreak/>
              <w:t>Body and tuned percussion (Rainforests)</w:t>
            </w:r>
          </w:p>
          <w:p w:rsidR="00FE2749" w:rsidRPr="004014BC" w:rsidRDefault="00FE2749" w:rsidP="00237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2749" w:rsidRPr="00FE2749" w:rsidRDefault="00FE2749" w:rsidP="00237847">
            <w:pPr>
              <w:jc w:val="center"/>
              <w:rPr>
                <w:rFonts w:cs="Arial"/>
              </w:rPr>
            </w:pPr>
            <w:r w:rsidRPr="004014BC">
              <w:rPr>
                <w:rFonts w:ascii="Arial" w:hAnsi="Arial" w:cs="Arial"/>
                <w:sz w:val="16"/>
                <w:szCs w:val="16"/>
              </w:rPr>
              <w:t xml:space="preserve">Children will explore the rainforest through music and </w:t>
            </w:r>
            <w:proofErr w:type="gramStart"/>
            <w:r w:rsidRPr="004014BC">
              <w:rPr>
                <w:rFonts w:ascii="Arial" w:hAnsi="Arial" w:cs="Arial"/>
                <w:sz w:val="16"/>
                <w:szCs w:val="16"/>
              </w:rPr>
              <w:t>be introduced</w:t>
            </w:r>
            <w:proofErr w:type="gramEnd"/>
            <w:r w:rsidRPr="004014BC">
              <w:rPr>
                <w:rFonts w:ascii="Arial" w:hAnsi="Arial" w:cs="Arial"/>
                <w:sz w:val="16"/>
                <w:szCs w:val="16"/>
              </w:rPr>
              <w:t xml:space="preserve"> to new </w:t>
            </w:r>
            <w:r w:rsidRPr="004014BC">
              <w:rPr>
                <w:rFonts w:ascii="Arial" w:hAnsi="Arial" w:cs="Arial"/>
                <w:sz w:val="16"/>
                <w:szCs w:val="16"/>
              </w:rPr>
              <w:lastRenderedPageBreak/>
              <w:t>musical terms. They will also use a mixture of body percussion and tuned instruments as the children create their own rhythms of the rainforests, layer by layer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D5739" w:rsidRPr="0081799C" w:rsidRDefault="00B472F8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81799C">
              <w:rPr>
                <w:rFonts w:ascii="Comic Sans MS" w:hAnsi="Comic Sans MS" w:cs="Arial"/>
              </w:rPr>
              <w:lastRenderedPageBreak/>
              <w:t>Traditional Instruments and Improvisation:</w:t>
            </w:r>
          </w:p>
          <w:p w:rsidR="00B472F8" w:rsidRPr="00B472F8" w:rsidRDefault="00B472F8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472F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 xml:space="preserve">Children listen to a range of rag and </w:t>
            </w:r>
            <w:proofErr w:type="spellStart"/>
            <w:r w:rsidRPr="00B472F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tal</w:t>
            </w:r>
            <w:proofErr w:type="spellEnd"/>
            <w:r w:rsidRPr="00B472F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 xml:space="preserve"> music, identifying traditional </w:t>
            </w:r>
            <w:r w:rsidRPr="00B472F8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lastRenderedPageBreak/>
              <w:t>instruments as well as creating their own improvisations and performing as a class.</w:t>
            </w:r>
          </w:p>
        </w:tc>
      </w:tr>
      <w:tr w:rsidR="00867A25" w:rsidRPr="00D31D26" w:rsidTr="0082115F">
        <w:tc>
          <w:tcPr>
            <w:tcW w:w="2185" w:type="dxa"/>
            <w:shd w:val="clear" w:color="auto" w:fill="CCC0D9" w:themeFill="accent4" w:themeFillTint="66"/>
            <w:vAlign w:val="center"/>
          </w:tcPr>
          <w:p w:rsidR="00867A25" w:rsidRDefault="00867A25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lastRenderedPageBreak/>
              <w:t>Year 4</w:t>
            </w:r>
          </w:p>
          <w:p w:rsidR="00867A25" w:rsidRPr="00D31D26" w:rsidRDefault="00867A25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:rsidR="00867A25" w:rsidRPr="004014BC" w:rsidRDefault="00867A25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4014BC">
              <w:rPr>
                <w:rFonts w:ascii="Comic Sans MS" w:hAnsi="Comic Sans MS" w:cs="Arial"/>
              </w:rPr>
              <w:t>Adapting and transposing motifs (Romans)</w:t>
            </w:r>
          </w:p>
          <w:p w:rsidR="00867A25" w:rsidRPr="004014BC" w:rsidRDefault="00867A25" w:rsidP="002378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4BC">
              <w:rPr>
                <w:rFonts w:ascii="Arial" w:hAnsi="Arial" w:cs="Arial"/>
                <w:sz w:val="16"/>
                <w:szCs w:val="16"/>
              </w:rPr>
              <w:t xml:space="preserve">Children will experiment and get creative with their music making. Drawing upon their understanding of repeating patterns in music, pupils </w:t>
            </w:r>
            <w:proofErr w:type="gramStart"/>
            <w:r w:rsidRPr="004014BC">
              <w:rPr>
                <w:rFonts w:ascii="Arial" w:hAnsi="Arial" w:cs="Arial"/>
                <w:sz w:val="16"/>
                <w:szCs w:val="16"/>
              </w:rPr>
              <w:t>are introduced</w:t>
            </w:r>
            <w:proofErr w:type="gramEnd"/>
            <w:r w:rsidRPr="004014BC">
              <w:rPr>
                <w:rFonts w:ascii="Arial" w:hAnsi="Arial" w:cs="Arial"/>
                <w:sz w:val="16"/>
                <w:szCs w:val="16"/>
              </w:rPr>
              <w:t xml:space="preserve"> to the concept of motifs. They will develop their skills further by adapting and transposing motifs before performing them to their peers. </w:t>
            </w:r>
          </w:p>
        </w:tc>
        <w:tc>
          <w:tcPr>
            <w:tcW w:w="8806" w:type="dxa"/>
            <w:gridSpan w:val="4"/>
            <w:shd w:val="clear" w:color="auto" w:fill="D9D9D9" w:themeFill="background1" w:themeFillShade="D9"/>
            <w:vAlign w:val="center"/>
          </w:tcPr>
          <w:p w:rsidR="00867A25" w:rsidRPr="004014BC" w:rsidRDefault="00867A25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4014BC">
              <w:rPr>
                <w:rFonts w:ascii="Comic Sans MS" w:hAnsi="Comic Sans MS" w:cs="Arial"/>
              </w:rPr>
              <w:t xml:space="preserve">Berkshire Maestros </w:t>
            </w:r>
          </w:p>
          <w:p w:rsidR="00867A25" w:rsidRPr="004014BC" w:rsidRDefault="00867A25" w:rsidP="002378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14BC">
              <w:rPr>
                <w:rFonts w:ascii="Arial" w:hAnsi="Arial" w:cs="Arial"/>
                <w:sz w:val="16"/>
                <w:szCs w:val="16"/>
              </w:rPr>
              <w:t>Clarinet sessions- Focusing on playing and performing in solo and ensemble contexts and playing musical instruments with increasing accuracy, fluency and control. They will use and understand staff and other musical notations.</w:t>
            </w:r>
          </w:p>
        </w:tc>
      </w:tr>
      <w:tr w:rsidR="00237847" w:rsidRPr="00D31D26" w:rsidTr="002D5739">
        <w:tc>
          <w:tcPr>
            <w:tcW w:w="2185" w:type="dxa"/>
            <w:shd w:val="clear" w:color="auto" w:fill="CCC0D9" w:themeFill="accent4" w:themeFillTint="66"/>
            <w:vAlign w:val="center"/>
          </w:tcPr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5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50C6D" w:rsidRPr="004014BC" w:rsidRDefault="00B472F8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4014BC">
              <w:rPr>
                <w:rFonts w:ascii="Comic Sans MS" w:hAnsi="Comic Sans MS" w:cs="Arial"/>
              </w:rPr>
              <w:t>Composition</w:t>
            </w:r>
            <w:r w:rsidR="00CE7302" w:rsidRPr="004014BC">
              <w:rPr>
                <w:rFonts w:ascii="Comic Sans MS" w:hAnsi="Comic Sans MS" w:cs="Arial"/>
              </w:rPr>
              <w:t xml:space="preserve"> and Notation</w:t>
            </w:r>
            <w:r w:rsidRPr="004014BC">
              <w:rPr>
                <w:rFonts w:ascii="Comic Sans MS" w:hAnsi="Comic Sans MS" w:cs="Arial"/>
              </w:rPr>
              <w:t>:</w:t>
            </w:r>
          </w:p>
          <w:p w:rsidR="00B472F8" w:rsidRDefault="00B472F8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4014BC">
              <w:rPr>
                <w:rFonts w:ascii="Comic Sans MS" w:hAnsi="Comic Sans MS" w:cs="Arial"/>
              </w:rPr>
              <w:t>Ancient Egyptians</w:t>
            </w:r>
            <w:r>
              <w:rPr>
                <w:rFonts w:ascii="Comic Sans MS" w:hAnsi="Comic Sans MS" w:cs="Arial"/>
              </w:rPr>
              <w:t xml:space="preserve"> </w:t>
            </w:r>
          </w:p>
          <w:p w:rsidR="00CE7302" w:rsidRPr="00CE7302" w:rsidRDefault="00CE7302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CE7302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Based on the theme of Ancient Egypt, children learn to identify the pitch and rhythm of written notes and experiment with notating their composition.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C55E9" w:rsidRPr="00B472F8" w:rsidRDefault="00B472F8" w:rsidP="004014BC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B472F8">
              <w:rPr>
                <w:rFonts w:ascii="Comic Sans MS" w:hAnsi="Comic Sans MS"/>
              </w:rPr>
              <w:t>Singing – Christmas Carol Concert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Default="00B472F8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Blues:</w:t>
            </w:r>
          </w:p>
          <w:p w:rsidR="00CE7302" w:rsidRPr="00CE7302" w:rsidRDefault="00CE7302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CE7302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Children are introduced to this famous genre of music and its history, and learn to identify the key features and mood of Blues music and its importance and purpose.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C55E9" w:rsidRDefault="00B472F8" w:rsidP="005C55E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Composition: to represent the festival of Colour </w:t>
            </w:r>
            <w:r w:rsidR="00CE7302">
              <w:rPr>
                <w:rFonts w:ascii="Comic Sans MS" w:hAnsi="Comic Sans MS" w:cs="Arial"/>
              </w:rPr>
              <w:t>–</w:t>
            </w:r>
            <w:r>
              <w:rPr>
                <w:rFonts w:ascii="Comic Sans MS" w:hAnsi="Comic Sans MS" w:cs="Arial"/>
              </w:rPr>
              <w:t xml:space="preserve"> Holi</w:t>
            </w:r>
          </w:p>
          <w:p w:rsidR="00CE7302" w:rsidRPr="00CE7302" w:rsidRDefault="00CE7302" w:rsidP="005C55E9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CE7302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Children explore the associations between music, sounds and colour, building up to composing and performing their own musical composition to represent Holi.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Default="00B472F8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South and West Africa</w:t>
            </w:r>
          </w:p>
          <w:p w:rsidR="00CE7302" w:rsidRPr="00CE7302" w:rsidRDefault="00CE7302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CE7302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Children learn ‘</w:t>
            </w:r>
            <w:proofErr w:type="spellStart"/>
            <w:r w:rsidRPr="00CE7302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Shosholoza</w:t>
            </w:r>
            <w:proofErr w:type="spellEnd"/>
            <w:r w:rsidRPr="00CE7302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’, a traditional South African song, play the accompanying chords using tuned percussion and learn to play the djembe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337FFB" w:rsidRDefault="00CE7302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Singing – Upper Junior Production</w:t>
            </w:r>
          </w:p>
        </w:tc>
      </w:tr>
      <w:tr w:rsidR="009D4C05" w:rsidRPr="00D31D26" w:rsidTr="003267D9">
        <w:tc>
          <w:tcPr>
            <w:tcW w:w="2185" w:type="dxa"/>
            <w:shd w:val="clear" w:color="auto" w:fill="CCC0D9" w:themeFill="accent4" w:themeFillTint="66"/>
            <w:vAlign w:val="center"/>
          </w:tcPr>
          <w:p w:rsidR="009D4C05" w:rsidRPr="00D31D26" w:rsidRDefault="009D4C05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6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9D4C05" w:rsidRPr="004014BC" w:rsidRDefault="009D4C05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4014BC">
              <w:rPr>
                <w:rFonts w:ascii="Comic Sans MS" w:hAnsi="Comic Sans MS" w:cs="Arial"/>
              </w:rPr>
              <w:t>Advanced Rhythms:</w:t>
            </w:r>
          </w:p>
          <w:p w:rsidR="009D4C05" w:rsidRPr="009D4C05" w:rsidRDefault="009D4C05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D4C05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Exploring rhythmic patterns in order to build a sense of pulse and using this understanding to create a composition.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9D4C05" w:rsidRPr="00337FFB" w:rsidRDefault="009D4C05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B472F8">
              <w:rPr>
                <w:rFonts w:ascii="Comic Sans MS" w:hAnsi="Comic Sans MS"/>
              </w:rPr>
              <w:t>Singing – Christmas Carol Concert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9D4C05" w:rsidRDefault="009D4C05" w:rsidP="009D4C05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Dynamics, Pitch and Tempo:</w:t>
            </w:r>
          </w:p>
          <w:p w:rsidR="009D4C05" w:rsidRDefault="009D4C05" w:rsidP="009D4C05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Fingal’s Cave</w:t>
            </w:r>
          </w:p>
          <w:p w:rsidR="009D4C05" w:rsidRPr="009D4C05" w:rsidRDefault="009D4C05" w:rsidP="009D4C05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D4C05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Appraising the work of Mendelssohn and further developing the skills of improvisation and composition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9D4C05" w:rsidRDefault="009D4C05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Theme and Variations:</w:t>
            </w:r>
          </w:p>
          <w:p w:rsidR="009D4C05" w:rsidRPr="009D4C05" w:rsidRDefault="009D4C05" w:rsidP="00237847">
            <w:pPr>
              <w:spacing w:line="27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9D4C05">
              <w:rPr>
                <w:rFonts w:ascii="Arial" w:hAnsi="Arial" w:cs="Arial"/>
                <w:color w:val="222222"/>
                <w:sz w:val="16"/>
                <w:szCs w:val="16"/>
                <w:shd w:val="clear" w:color="auto" w:fill="D9D9D9" w:themeFill="background1" w:themeFillShade="D9"/>
              </w:rPr>
              <w:t>Children explore the musical concept of theme and variations and discover how rhythms can ‘translate’ onto different instruments.</w:t>
            </w:r>
          </w:p>
          <w:p w:rsidR="009D4C05" w:rsidRPr="00337FFB" w:rsidRDefault="009D4C05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9D4C05" w:rsidRPr="00337FFB" w:rsidRDefault="009D4C05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Singing – Upper Junior Production and Composing a Leavers’ song</w:t>
            </w:r>
          </w:p>
        </w:tc>
      </w:tr>
    </w:tbl>
    <w:p w:rsidR="00C355A6" w:rsidRDefault="00C355A6" w:rsidP="003531ED">
      <w:pPr>
        <w:rPr>
          <w:rFonts w:ascii="Comic Sans MS" w:hAnsi="Comic Sans MS"/>
          <w:sz w:val="28"/>
          <w:szCs w:val="28"/>
        </w:rPr>
      </w:pPr>
    </w:p>
    <w:p w:rsidR="00F07336" w:rsidRPr="002559A1" w:rsidRDefault="00F07336" w:rsidP="002559A1">
      <w:pPr>
        <w:tabs>
          <w:tab w:val="left" w:pos="2330"/>
        </w:tabs>
      </w:pPr>
      <w:bookmarkStart w:id="0" w:name="_GoBack"/>
      <w:bookmarkEnd w:id="0"/>
    </w:p>
    <w:sectPr w:rsidR="00F07336" w:rsidRPr="002559A1" w:rsidSect="00BB76DA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21117"/>
    <w:multiLevelType w:val="hybridMultilevel"/>
    <w:tmpl w:val="AD088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6"/>
    <w:rsid w:val="00032F63"/>
    <w:rsid w:val="00122D80"/>
    <w:rsid w:val="00145F15"/>
    <w:rsid w:val="001D755F"/>
    <w:rsid w:val="0020731E"/>
    <w:rsid w:val="00233275"/>
    <w:rsid w:val="00237847"/>
    <w:rsid w:val="002559A1"/>
    <w:rsid w:val="002C1484"/>
    <w:rsid w:val="002D5739"/>
    <w:rsid w:val="00337FFB"/>
    <w:rsid w:val="00350E94"/>
    <w:rsid w:val="003531ED"/>
    <w:rsid w:val="004014BC"/>
    <w:rsid w:val="00444ACC"/>
    <w:rsid w:val="00550C6D"/>
    <w:rsid w:val="005C55E9"/>
    <w:rsid w:val="00655607"/>
    <w:rsid w:val="00667086"/>
    <w:rsid w:val="006C09A1"/>
    <w:rsid w:val="0073740B"/>
    <w:rsid w:val="00781193"/>
    <w:rsid w:val="007B1043"/>
    <w:rsid w:val="0081799C"/>
    <w:rsid w:val="00836072"/>
    <w:rsid w:val="00867A25"/>
    <w:rsid w:val="00903A90"/>
    <w:rsid w:val="00916C2F"/>
    <w:rsid w:val="0092024C"/>
    <w:rsid w:val="009D4C05"/>
    <w:rsid w:val="009E1D4C"/>
    <w:rsid w:val="00A251FE"/>
    <w:rsid w:val="00B472F8"/>
    <w:rsid w:val="00B67CD9"/>
    <w:rsid w:val="00BB76DA"/>
    <w:rsid w:val="00BE4D92"/>
    <w:rsid w:val="00C320C6"/>
    <w:rsid w:val="00C355A6"/>
    <w:rsid w:val="00C51B32"/>
    <w:rsid w:val="00CE7302"/>
    <w:rsid w:val="00D02633"/>
    <w:rsid w:val="00D31D26"/>
    <w:rsid w:val="00D4387D"/>
    <w:rsid w:val="00DE1252"/>
    <w:rsid w:val="00E3583E"/>
    <w:rsid w:val="00E51E1F"/>
    <w:rsid w:val="00E57808"/>
    <w:rsid w:val="00E92C9E"/>
    <w:rsid w:val="00ED6766"/>
    <w:rsid w:val="00F07336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4B0E"/>
  <w15:docId w15:val="{DEBF433A-19D3-49F6-AFCE-9D25F94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Wraysbury Primary School</dc:creator>
  <cp:lastModifiedBy>A Fox</cp:lastModifiedBy>
  <cp:revision>2</cp:revision>
  <dcterms:created xsi:type="dcterms:W3CDTF">2022-01-08T17:45:00Z</dcterms:created>
  <dcterms:modified xsi:type="dcterms:W3CDTF">2022-01-08T17:45:00Z</dcterms:modified>
</cp:coreProperties>
</file>